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rPr/>
      </w:pPr>
      <w:bookmarkStart w:colFirst="0" w:colLast="0" w:name="_lwrm7rfb82di" w:id="0"/>
      <w:bookmarkEnd w:id="0"/>
      <w:r w:rsidDel="00000000" w:rsidR="00000000" w:rsidRPr="00000000">
        <w:rPr>
          <w:rtl w:val="0"/>
        </w:rPr>
        <w:t xml:space="preserve">The Global Map of Model Risk Management (MRM) Frameworks</w:t>
      </w:r>
    </w:p>
    <w:p w:rsidR="00000000" w:rsidDel="00000000" w:rsidP="00000000" w:rsidRDefault="00000000" w:rsidRPr="00000000" w14:paraId="00000002">
      <w:pPr>
        <w:pStyle w:val="Heading4"/>
        <w:rPr/>
      </w:pPr>
      <w:bookmarkStart w:colFirst="0" w:colLast="0" w:name="_fwaj1sb06mqi" w:id="1"/>
      <w:bookmarkEnd w:id="1"/>
      <w:r w:rsidDel="00000000" w:rsidR="00000000" w:rsidRPr="00000000">
        <w:rPr>
          <w:rtl w:val="0"/>
        </w:rPr>
        <w:t xml:space="preserve">1. Navigating the Regulatory Landscape: An Introduction</w:t>
      </w:r>
    </w:p>
    <w:p w:rsidR="00000000" w:rsidDel="00000000" w:rsidP="00000000" w:rsidRDefault="00000000" w:rsidRPr="00000000" w14:paraId="00000003">
      <w:pPr>
        <w:rPr/>
      </w:pPr>
      <w:r w:rsidDel="00000000" w:rsidR="00000000" w:rsidRPr="00000000">
        <w:rPr>
          <w:rtl w:val="0"/>
        </w:rPr>
        <w:t xml:space="preserve">In contemporary finance, institutions rely on quantitative models to automate decisions, price complex instruments, and manage capital. However, the use of these models introduces  </w:t>
      </w:r>
      <w:r w:rsidDel="00000000" w:rsidR="00000000" w:rsidRPr="00000000">
        <w:rPr>
          <w:b w:val="1"/>
          <w:bCs w:val="1"/>
          <w:rtl w:val="0"/>
        </w:rPr>
        <w:t xml:space="preserve">Model Risk</w:t>
      </w:r>
      <w:r w:rsidDel="00000000" w:rsidR="00000000" w:rsidRPr="00000000">
        <w:rPr>
          <w:rtl w:val="0"/>
        </w:rPr>
        <w:t xml:space="preserve"> —the potential for adverse consequences from decisions based on incorrect or misused model outputs.  </w:t>
      </w:r>
      <w:r w:rsidDel="00000000" w:rsidR="00000000" w:rsidRPr="00000000">
        <w:rPr>
          <w:b w:val="1"/>
          <w:bCs w:val="1"/>
          <w:rtl w:val="0"/>
        </w:rPr>
        <w:t xml:space="preserve">Model Risk Management (MRM)</w:t>
      </w:r>
      <w:r w:rsidDel="00000000" w:rsidR="00000000" w:rsidRPr="00000000">
        <w:rPr>
          <w:rtl w:val="0"/>
        </w:rPr>
        <w:t xml:space="preserve">  is the structured discipline designed to mitigate these risks through rigorous oversight and technical scrutiny.Regardless of the specific regulatory jurisdiction, robust MRM programs are built upon  </w:t>
      </w:r>
      <w:r w:rsidDel="00000000" w:rsidR="00000000" w:rsidRPr="00000000">
        <w:rPr>
          <w:b w:val="1"/>
          <w:bCs w:val="1"/>
          <w:rtl w:val="0"/>
        </w:rPr>
        <w:t xml:space="preserve">Three Foundational Pillars</w:t>
      </w:r>
      <w:r w:rsidDel="00000000" w:rsidR="00000000" w:rsidRPr="00000000">
        <w:rPr>
          <w:rtl w:val="0"/>
        </w:rPr>
        <w:t xml:space="preserve"> :</w:t>
      </w:r>
    </w:p>
    <w:p w:rsidR="00000000" w:rsidDel="00000000" w:rsidP="00000000" w:rsidRDefault="00000000" w:rsidRPr="00000000" w14:paraId="00000004">
      <w:pPr>
        <w:numPr>
          <w:ilvl w:val="0"/>
          <w:numId w:val="2"/>
        </w:numPr>
        <w:ind w:left="720" w:hanging="360"/>
        <w:rPr>
          <w:u w:val="none"/>
        </w:rPr>
      </w:pPr>
      <w:r w:rsidDel="00000000" w:rsidR="00000000" w:rsidRPr="00000000">
        <w:rPr>
          <w:b w:val="1"/>
          <w:bCs w:val="1"/>
          <w:rtl w:val="0"/>
        </w:rPr>
        <w:t xml:space="preserve">Model Development, Implementation, and Use:</w:t>
      </w:r>
      <w:r w:rsidDel="00000000" w:rsidR="00000000" w:rsidRPr="00000000">
        <w:rPr>
          <w:rtl w:val="0"/>
        </w:rPr>
        <w:t xml:space="preserve">  Ensuring models are conceptually sound and fit for their specific business purpose.</w:t>
      </w:r>
    </w:p>
    <w:p w:rsidR="00000000" w:rsidDel="00000000" w:rsidP="00000000" w:rsidRDefault="00000000" w:rsidRPr="00000000" w14:paraId="00000005">
      <w:pPr>
        <w:numPr>
          <w:ilvl w:val="0"/>
          <w:numId w:val="2"/>
        </w:numPr>
        <w:ind w:left="720" w:hanging="360"/>
        <w:rPr>
          <w:u w:val="none"/>
        </w:rPr>
      </w:pPr>
      <w:r w:rsidDel="00000000" w:rsidR="00000000" w:rsidRPr="00000000">
        <w:rPr>
          <w:b w:val="1"/>
          <w:bCs w:val="1"/>
          <w:rtl w:val="0"/>
        </w:rPr>
        <w:t xml:space="preserve">Model Validation:</w:t>
      </w:r>
      <w:r w:rsidDel="00000000" w:rsidR="00000000" w:rsidRPr="00000000">
        <w:rPr>
          <w:rtl w:val="0"/>
        </w:rPr>
        <w:t xml:space="preserve">  The process of providing "effective challenge" through independent review of a model’s logic, data, and performance.</w:t>
      </w:r>
    </w:p>
    <w:p w:rsidR="00000000" w:rsidDel="00000000" w:rsidP="00000000" w:rsidRDefault="00000000" w:rsidRPr="00000000" w14:paraId="00000006">
      <w:pPr>
        <w:numPr>
          <w:ilvl w:val="0"/>
          <w:numId w:val="2"/>
        </w:numPr>
        <w:ind w:left="720" w:hanging="360"/>
        <w:rPr>
          <w:u w:val="none"/>
        </w:rPr>
      </w:pPr>
      <w:r w:rsidDel="00000000" w:rsidR="00000000" w:rsidRPr="00000000">
        <w:rPr>
          <w:b w:val="1"/>
          <w:bCs w:val="1"/>
          <w:rtl w:val="0"/>
        </w:rPr>
        <w:t xml:space="preserve">Governance, Policies, and Controls:</w:t>
      </w:r>
      <w:r w:rsidDel="00000000" w:rsidR="00000000" w:rsidRPr="00000000">
        <w:rPr>
          <w:rtl w:val="0"/>
        </w:rPr>
        <w:t xml:space="preserve">  A framework of institutional oversight that defines roles, responsibilities, and the model lifecycle.While these pillars are universal, their application varies significantly by geography and institution type, shifting from broad principles to highly specific methodological requirements.</w:t>
      </w:r>
    </w:p>
    <w:p w:rsidR="00000000" w:rsidDel="00000000" w:rsidP="00000000" w:rsidRDefault="00000000" w:rsidRPr="00000000" w14:paraId="00000007">
      <w:pPr>
        <w:pStyle w:val="Heading4"/>
        <w:rPr/>
      </w:pPr>
      <w:bookmarkStart w:colFirst="0" w:colLast="0" w:name="_9j97gw953cgg" w:id="2"/>
      <w:bookmarkEnd w:id="2"/>
      <w:r w:rsidDel="00000000" w:rsidR="00000000" w:rsidRPr="00000000">
        <w:rPr>
          <w:rtl w:val="0"/>
        </w:rPr>
        <w:t xml:space="preserve">2. The United States: From SR 11-7 to the 2026 Interagency Update</w:t>
      </w:r>
    </w:p>
    <w:p w:rsidR="00000000" w:rsidDel="00000000" w:rsidP="00000000" w:rsidRDefault="00000000" w:rsidRPr="00000000" w14:paraId="00000008">
      <w:pPr>
        <w:rPr/>
      </w:pPr>
      <w:r w:rsidDel="00000000" w:rsidR="00000000" w:rsidRPr="00000000">
        <w:rPr>
          <w:rtl w:val="0"/>
        </w:rPr>
        <w:t xml:space="preserve">The U.S. regulatory landscape has undergone a significant transformation, moving from a rigid, one-size-fits-all approach to a more nuanced, risk-based regime. For over a decade, SR 11-7 served as the industry’s "North Star," but the 2026 interagency update reflects a more sophisticated understanding of institutional diversity.| Framework Name | Primary Regulators | Applicable Institutions | Core Focus / Evolution || ------ | ------ | ------ | ------ || </w:t>
      </w:r>
      <w:r w:rsidDel="00000000" w:rsidR="00000000" w:rsidRPr="00000000">
        <w:rPr>
          <w:b w:val="1"/>
          <w:bCs w:val="1"/>
          <w:rtl w:val="0"/>
        </w:rPr>
        <w:t xml:space="preserve">SR 11-7 / OCC 2011-12</w:t>
      </w:r>
      <w:r w:rsidDel="00000000" w:rsidR="00000000" w:rsidRPr="00000000">
        <w:rPr>
          <w:rtl w:val="0"/>
        </w:rPr>
        <w:t xml:space="preserve"> | Federal Reserve, OCC | National banks and federal savings associations | Established the original three pillars and the mandate for "effective challenge" by independent parties. || </w:t>
      </w:r>
      <w:r w:rsidDel="00000000" w:rsidR="00000000" w:rsidRPr="00000000">
        <w:rPr>
          <w:b w:val="1"/>
          <w:bCs w:val="1"/>
          <w:rtl w:val="0"/>
        </w:rPr>
        <w:t xml:space="preserve">SR 26-2 / OCC 2026-13 / FDIC FIL</w:t>
      </w:r>
      <w:r w:rsidDel="00000000" w:rsidR="00000000" w:rsidRPr="00000000">
        <w:rPr>
          <w:rtl w:val="0"/>
        </w:rPr>
        <w:t xml:space="preserve"> | Federal Reserve, OCC, FDIC | Banking organizations (primarily &gt;$30B in assets) | The "Tailored Era" update; replaces static review cycles with risk-based revalidation and expanded third-party oversight. |</w:t>
      </w:r>
    </w:p>
    <w:p w:rsidR="00000000" w:rsidDel="00000000" w:rsidP="00000000" w:rsidRDefault="00000000" w:rsidRPr="00000000" w14:paraId="00000009">
      <w:pPr>
        <w:pStyle w:val="Heading5"/>
        <w:rPr/>
      </w:pPr>
      <w:bookmarkStart w:colFirst="0" w:colLast="0" w:name="_r7gcmon0pdsy" w:id="3"/>
      <w:bookmarkEnd w:id="3"/>
      <w:r w:rsidDel="00000000" w:rsidR="00000000" w:rsidRPr="00000000">
        <w:rPr>
          <w:rtl w:val="0"/>
        </w:rPr>
        <w:t xml:space="preserve">Synthesis: The "Tailored Era" Shift</w:t>
      </w:r>
    </w:p>
    <w:p w:rsidR="00000000" w:rsidDel="00000000" w:rsidP="00000000" w:rsidRDefault="00000000" w:rsidRPr="00000000" w14:paraId="0000000A">
      <w:pPr>
        <w:rPr/>
      </w:pPr>
      <w:r w:rsidDel="00000000" w:rsidR="00000000" w:rsidRPr="00000000">
        <w:rPr>
          <w:rtl w:val="0"/>
        </w:rPr>
        <w:t xml:space="preserve">The issuance of the 2026 guidance (via the Fed's SR 26-2, the OCC's Bulletin 2026-13, and the FDIC's Financial Institution Letter) marks a pivot away from the "de facto annual review." For institutions with over $30 billion in assets, the focus has shifted to  </w:t>
      </w:r>
      <w:r w:rsidDel="00000000" w:rsidR="00000000" w:rsidRPr="00000000">
        <w:rPr>
          <w:b w:val="1"/>
          <w:bCs w:val="1"/>
          <w:rtl w:val="0"/>
        </w:rPr>
        <w:t xml:space="preserve">risk-based revalidation frequency</w:t>
      </w:r>
      <w:r w:rsidDel="00000000" w:rsidR="00000000" w:rsidRPr="00000000">
        <w:rPr>
          <w:rtl w:val="0"/>
        </w:rPr>
        <w:t xml:space="preserve"> . This means a model's review cycle is now dictated by its  </w:t>
      </w:r>
      <w:r w:rsidDel="00000000" w:rsidR="00000000" w:rsidRPr="00000000">
        <w:rPr>
          <w:b w:val="1"/>
          <w:bCs w:val="1"/>
          <w:rtl w:val="0"/>
        </w:rPr>
        <w:t xml:space="preserve">materiality</w:t>
      </w:r>
      <w:r w:rsidDel="00000000" w:rsidR="00000000" w:rsidRPr="00000000">
        <w:rPr>
          <w:rtl w:val="0"/>
        </w:rPr>
        <w:t xml:space="preserve"> ,  </w:t>
      </w:r>
      <w:r w:rsidDel="00000000" w:rsidR="00000000" w:rsidRPr="00000000">
        <w:rPr>
          <w:b w:val="1"/>
          <w:bCs w:val="1"/>
          <w:rtl w:val="0"/>
        </w:rPr>
        <w:t xml:space="preserve">change velocity</w:t>
      </w:r>
      <w:r w:rsidDel="00000000" w:rsidR="00000000" w:rsidRPr="00000000">
        <w:rPr>
          <w:rtl w:val="0"/>
        </w:rPr>
        <w:t xml:space="preserve"> , and  </w:t>
      </w:r>
      <w:r w:rsidDel="00000000" w:rsidR="00000000" w:rsidRPr="00000000">
        <w:rPr>
          <w:b w:val="1"/>
          <w:bCs w:val="1"/>
          <w:rtl w:val="0"/>
        </w:rPr>
        <w:t xml:space="preserve">data availability</w:t>
      </w:r>
      <w:r w:rsidDel="00000000" w:rsidR="00000000" w:rsidRPr="00000000">
        <w:rPr>
          <w:rtl w:val="0"/>
        </w:rPr>
        <w:t xml:space="preserve">  rather than a simple calendar date.While the U.S. emphasizes this flexible, risk-based approach for banking organizations, the European Union maintains a more centralized and methodological stance.</w:t>
      </w:r>
    </w:p>
    <w:p w:rsidR="00000000" w:rsidDel="00000000" w:rsidP="00000000" w:rsidRDefault="00000000" w:rsidRPr="00000000" w14:paraId="0000000B">
      <w:pPr>
        <w:pStyle w:val="Heading4"/>
        <w:rPr/>
      </w:pPr>
      <w:bookmarkStart w:colFirst="0" w:colLast="0" w:name="_tbblccbn03y0" w:id="4"/>
      <w:bookmarkEnd w:id="4"/>
      <w:r w:rsidDel="00000000" w:rsidR="00000000" w:rsidRPr="00000000">
        <w:rPr>
          <w:rtl w:val="0"/>
        </w:rPr>
        <w:t xml:space="preserve">3. The European Union: The ECB Guide to Internal Models</w:t>
      </w:r>
    </w:p>
    <w:p w:rsidR="00000000" w:rsidDel="00000000" w:rsidP="00000000" w:rsidRDefault="00000000" w:rsidRPr="00000000" w14:paraId="0000000C">
      <w:pPr>
        <w:rPr/>
      </w:pPr>
      <w:r w:rsidDel="00000000" w:rsidR="00000000" w:rsidRPr="00000000">
        <w:rPr>
          <w:rtl w:val="0"/>
        </w:rPr>
        <w:t xml:space="preserve">In the EU, the European Central Bank (ECB) provides exhaustive guidance for significant institutions under its direct supervision. This framework is a product of the  </w:t>
      </w:r>
      <w:r w:rsidDel="00000000" w:rsidR="00000000" w:rsidRPr="00000000">
        <w:rPr>
          <w:b w:val="1"/>
          <w:bCs w:val="1"/>
          <w:rtl w:val="0"/>
        </w:rPr>
        <w:t xml:space="preserve">TRIM (Targeted Review of Internal Models)</w:t>
      </w:r>
      <w:r w:rsidDel="00000000" w:rsidR="00000000" w:rsidRPr="00000000">
        <w:rPr>
          <w:rtl w:val="0"/>
        </w:rPr>
        <w:t xml:space="preserve">  project, a massive five-year undertaking (2016–2021) that involved roughly 200 on-site investigations to standardize how models are assessed.The ECB Guide is notably rigorous regarding three specific internal model types:</w:t>
      </w:r>
    </w:p>
    <w:p w:rsidR="00000000" w:rsidDel="00000000" w:rsidP="00000000" w:rsidRDefault="00000000" w:rsidRPr="00000000" w14:paraId="0000000D">
      <w:pPr>
        <w:numPr>
          <w:ilvl w:val="0"/>
          <w:numId w:val="1"/>
        </w:numPr>
        <w:ind w:left="720" w:hanging="360"/>
        <w:rPr>
          <w:b w:val="1"/>
          <w:bCs w:val="1"/>
          <w:u w:val="none"/>
        </w:rPr>
      </w:pPr>
      <w:r w:rsidDel="00000000" w:rsidR="00000000" w:rsidRPr="00000000">
        <w:rPr>
          <w:b w:val="1"/>
          <w:bCs w:val="1"/>
          <w:rtl w:val="0"/>
        </w:rPr>
        <w:t xml:space="preserve">Credit risk</w:t>
      </w:r>
    </w:p>
    <w:p w:rsidR="00000000" w:rsidDel="00000000" w:rsidP="00000000" w:rsidRDefault="00000000" w:rsidRPr="00000000" w14:paraId="0000000E">
      <w:pPr>
        <w:numPr>
          <w:ilvl w:val="0"/>
          <w:numId w:val="1"/>
        </w:numPr>
        <w:ind w:left="720" w:hanging="360"/>
        <w:rPr>
          <w:b w:val="1"/>
          <w:bCs w:val="1"/>
        </w:rPr>
      </w:pPr>
      <w:r w:rsidDel="00000000" w:rsidR="00000000" w:rsidRPr="00000000">
        <w:rPr>
          <w:b w:val="1"/>
          <w:bCs w:val="1"/>
          <w:rtl w:val="0"/>
        </w:rPr>
        <w:t xml:space="preserve">Market risk</w:t>
      </w:r>
    </w:p>
    <w:p w:rsidR="00000000" w:rsidDel="00000000" w:rsidP="00000000" w:rsidRDefault="00000000" w:rsidRPr="00000000" w14:paraId="0000000F">
      <w:pPr>
        <w:numPr>
          <w:ilvl w:val="0"/>
          <w:numId w:val="1"/>
        </w:numPr>
        <w:ind w:left="720" w:hanging="360"/>
        <w:rPr>
          <w:b w:val="1"/>
          <w:bCs w:val="1"/>
        </w:rPr>
      </w:pPr>
      <w:r w:rsidDel="00000000" w:rsidR="00000000" w:rsidRPr="00000000">
        <w:rPr>
          <w:b w:val="1"/>
          <w:bCs w:val="1"/>
          <w:rtl w:val="0"/>
        </w:rPr>
        <w:t xml:space="preserve">Counterparty credit risk</w:t>
      </w:r>
    </w:p>
    <w:p w:rsidR="00000000" w:rsidDel="00000000" w:rsidP="00000000" w:rsidRDefault="00000000" w:rsidRPr="00000000" w14:paraId="00000010">
      <w:pPr>
        <w:pStyle w:val="Heading5"/>
        <w:rPr/>
      </w:pPr>
      <w:bookmarkStart w:colFirst="0" w:colLast="0" w:name="_usdp8vrw3518" w:id="5"/>
      <w:bookmarkEnd w:id="5"/>
      <w:r w:rsidDel="00000000" w:rsidR="00000000" w:rsidRPr="00000000">
        <w:rPr>
          <w:rtl w:val="0"/>
        </w:rPr>
        <w:t xml:space="preserve">The "Level Playing Field" Concept</w:t>
      </w:r>
    </w:p>
    <w:p w:rsidR="00000000" w:rsidDel="00000000" w:rsidP="00000000" w:rsidRDefault="00000000" w:rsidRPr="00000000" w14:paraId="00000011">
      <w:pPr>
        <w:rPr/>
      </w:pPr>
      <w:r w:rsidDel="00000000" w:rsidR="00000000" w:rsidRPr="00000000">
        <w:rPr>
          <w:rtl w:val="0"/>
        </w:rPr>
        <w:t xml:space="preserve">The ECB uses this guide to harmonize the interpretation of EU and national laws. By providing a transparent methodology for its supervisors, the ECB ensures a "Level Playing Field," where a bank in Frankfurt is held to the same methodological standards as a bank in Paris or Madrid, reducing regulatory arbitrage across the Eurozone.This emphasis on methodological rigor in Europe is mirrored in the UK, although the British regulator frames its expectations through high-level strategic principles.</w:t>
      </w:r>
    </w:p>
    <w:p w:rsidR="00000000" w:rsidDel="00000000" w:rsidP="00000000" w:rsidRDefault="00000000" w:rsidRPr="00000000" w14:paraId="00000012">
      <w:pPr>
        <w:pStyle w:val="Heading4"/>
        <w:rPr/>
      </w:pPr>
      <w:bookmarkStart w:colFirst="0" w:colLast="0" w:name="_hlqvxyenekd3" w:id="6"/>
      <w:bookmarkEnd w:id="6"/>
      <w:r w:rsidDel="00000000" w:rsidR="00000000" w:rsidRPr="00000000">
        <w:rPr>
          <w:rtl w:val="0"/>
        </w:rPr>
        <w:t xml:space="preserve">4. The United Kingdom: PRA SS1/23</w:t>
      </w:r>
    </w:p>
    <w:p w:rsidR="00000000" w:rsidDel="00000000" w:rsidP="00000000" w:rsidRDefault="00000000" w:rsidRPr="00000000" w14:paraId="00000013">
      <w:pPr>
        <w:rPr/>
      </w:pPr>
      <w:r w:rsidDel="00000000" w:rsidR="00000000" w:rsidRPr="00000000">
        <w:rPr>
          <w:rtl w:val="0"/>
        </w:rPr>
        <w:t xml:space="preserve">The Prudential Regulation Authority (PRA) oversees UK-incorporated banks and investment firms. Its primary guidance,  </w:t>
      </w:r>
      <w:r w:rsidDel="00000000" w:rsidR="00000000" w:rsidRPr="00000000">
        <w:rPr>
          <w:b w:val="1"/>
          <w:bCs w:val="1"/>
          <w:rtl w:val="0"/>
        </w:rPr>
        <w:t xml:space="preserve">SS1/23</w:t>
      </w:r>
      <w:r w:rsidDel="00000000" w:rsidR="00000000" w:rsidRPr="00000000">
        <w:rPr>
          <w:rtl w:val="0"/>
        </w:rPr>
        <w:t xml:space="preserve"> , establishes five core principles that firms must embed as a distinct strategic discipline.Unlike general guidance, SS1/23 has a specific prerequisite: it applies to firms that have "internal model approval" to calculate regulatory capital requirements using the following approaches:</w:t>
      </w:r>
    </w:p>
    <w:p w:rsidR="00000000" w:rsidDel="00000000" w:rsidP="00000000" w:rsidRDefault="00000000" w:rsidRPr="00000000" w14:paraId="00000014">
      <w:pPr>
        <w:numPr>
          <w:ilvl w:val="0"/>
          <w:numId w:val="5"/>
        </w:numPr>
        <w:ind w:left="720" w:hanging="360"/>
        <w:rPr>
          <w:u w:val="none"/>
        </w:rPr>
      </w:pPr>
      <w:r w:rsidDel="00000000" w:rsidR="00000000" w:rsidRPr="00000000">
        <w:rPr>
          <w:b w:val="1"/>
          <w:bCs w:val="1"/>
          <w:rtl w:val="0"/>
        </w:rPr>
        <w:t xml:space="preserve">Internal Ratings Based (IRB)</w:t>
      </w:r>
      <w:r w:rsidDel="00000000" w:rsidR="00000000" w:rsidRPr="00000000">
        <w:rPr>
          <w:rtl w:val="0"/>
        </w:rPr>
        <w:t xml:space="preserve">  for credit risk.</w:t>
      </w:r>
    </w:p>
    <w:p w:rsidR="00000000" w:rsidDel="00000000" w:rsidP="00000000" w:rsidRDefault="00000000" w:rsidRPr="00000000" w14:paraId="00000015">
      <w:pPr>
        <w:numPr>
          <w:ilvl w:val="0"/>
          <w:numId w:val="5"/>
        </w:numPr>
        <w:ind w:left="720" w:hanging="360"/>
        <w:rPr>
          <w:u w:val="none"/>
        </w:rPr>
      </w:pPr>
      <w:r w:rsidDel="00000000" w:rsidR="00000000" w:rsidRPr="00000000">
        <w:rPr>
          <w:b w:val="1"/>
          <w:bCs w:val="1"/>
          <w:rtl w:val="0"/>
        </w:rPr>
        <w:t xml:space="preserve">Internal Model Approach (IMA)</w:t>
      </w:r>
      <w:r w:rsidDel="00000000" w:rsidR="00000000" w:rsidRPr="00000000">
        <w:rPr>
          <w:rtl w:val="0"/>
        </w:rPr>
        <w:t xml:space="preserve">  for market risk.</w:t>
      </w:r>
    </w:p>
    <w:p w:rsidR="00000000" w:rsidDel="00000000" w:rsidP="00000000" w:rsidRDefault="00000000" w:rsidRPr="00000000" w14:paraId="00000016">
      <w:pPr>
        <w:numPr>
          <w:ilvl w:val="0"/>
          <w:numId w:val="5"/>
        </w:numPr>
        <w:ind w:left="720" w:hanging="360"/>
        <w:rPr>
          <w:u w:val="none"/>
        </w:rPr>
      </w:pPr>
      <w:r w:rsidDel="00000000" w:rsidR="00000000" w:rsidRPr="00000000">
        <w:rPr>
          <w:b w:val="1"/>
          <w:bCs w:val="1"/>
          <w:rtl w:val="0"/>
        </w:rPr>
        <w:t xml:space="preserve">Internal Model Method (IMM)</w:t>
      </w:r>
      <w:r w:rsidDel="00000000" w:rsidR="00000000" w:rsidRPr="00000000">
        <w:rPr>
          <w:rtl w:val="0"/>
        </w:rPr>
        <w:t xml:space="preserve">  for counterparty credit risk.While the "spirit" of SS1/23 is closely aligned with the U.S. concept of effective challenge and governance, it is issued independently to reflect the UK's specific prudential priorities. For global firms, the operational burden of meeting these principles often necessitates seeking external expertise to ensure independence.</w:t>
      </w:r>
    </w:p>
    <w:p w:rsidR="00000000" w:rsidDel="00000000" w:rsidP="00000000" w:rsidRDefault="00000000" w:rsidRPr="00000000" w14:paraId="00000017">
      <w:pPr>
        <w:pStyle w:val="Heading4"/>
        <w:rPr/>
      </w:pPr>
      <w:bookmarkStart w:colFirst="0" w:colLast="0" w:name="_cqrocfqpi0tp" w:id="7"/>
      <w:bookmarkEnd w:id="7"/>
      <w:r w:rsidDel="00000000" w:rsidR="00000000" w:rsidRPr="00000000">
        <w:rPr>
          <w:rtl w:val="0"/>
        </w:rPr>
        <w:t xml:space="preserve">5. Simplified Decision Matrix: Which Framework Applies to You?</w:t>
      </w:r>
    </w:p>
    <w:p w:rsidR="00000000" w:rsidDel="00000000" w:rsidP="00000000" w:rsidRDefault="00000000" w:rsidRPr="00000000" w14:paraId="00000018">
      <w:pPr>
        <w:rPr/>
      </w:pPr>
      <w:r w:rsidDel="00000000" w:rsidR="00000000" w:rsidRPr="00000000">
        <w:rPr>
          <w:rtl w:val="0"/>
        </w:rPr>
        <w:t xml:space="preserve">Use this guide to identify the relevant regulator and framework based on your institution's profile:</w:t>
      </w:r>
    </w:p>
    <w:p w:rsidR="00000000" w:rsidDel="00000000" w:rsidP="00000000" w:rsidRDefault="00000000" w:rsidRPr="00000000" w14:paraId="00000019">
      <w:pPr>
        <w:numPr>
          <w:ilvl w:val="0"/>
          <w:numId w:val="3"/>
        </w:numPr>
        <w:ind w:left="720" w:hanging="360"/>
        <w:rPr>
          <w:u w:val="none"/>
        </w:rPr>
      </w:pPr>
      <w:r w:rsidDel="00000000" w:rsidR="00000000" w:rsidRPr="00000000">
        <w:rPr>
          <w:rtl w:val="0"/>
        </w:rPr>
        <w:t xml:space="preserve"> If you are a UK-incorporated bank with internal model approval -&gt;  </w:t>
      </w:r>
      <w:r w:rsidDel="00000000" w:rsidR="00000000" w:rsidRPr="00000000">
        <w:rPr>
          <w:b w:val="1"/>
          <w:bCs w:val="1"/>
          <w:rtl w:val="0"/>
        </w:rPr>
        <w:t xml:space="preserve">Follow PRA SS1/23</w:t>
      </w:r>
      <w:r w:rsidDel="00000000" w:rsidR="00000000" w:rsidRPr="00000000">
        <w:rPr>
          <w:rtl w:val="0"/>
        </w:rPr>
        <w:t xml:space="preserve"> .</w:t>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 If you are a U.S. banking organization with over $30B in assets -&gt;  </w:t>
      </w:r>
      <w:r w:rsidDel="00000000" w:rsidR="00000000" w:rsidRPr="00000000">
        <w:rPr>
          <w:b w:val="1"/>
          <w:bCs w:val="1"/>
          <w:rtl w:val="0"/>
        </w:rPr>
        <w:t xml:space="preserve">Follow SR 26-2 / OCC 2026-13 / FDIC FIL</w:t>
      </w:r>
      <w:r w:rsidDel="00000000" w:rsidR="00000000" w:rsidRPr="00000000">
        <w:rPr>
          <w:rtl w:val="0"/>
        </w:rPr>
        <w:t xml:space="preserve"> .</w:t>
      </w:r>
    </w:p>
    <w:p w:rsidR="00000000" w:rsidDel="00000000" w:rsidP="00000000" w:rsidRDefault="00000000" w:rsidRPr="00000000" w14:paraId="0000001B">
      <w:pPr>
        <w:numPr>
          <w:ilvl w:val="0"/>
          <w:numId w:val="3"/>
        </w:numPr>
        <w:ind w:left="720" w:hanging="360"/>
        <w:rPr>
          <w:u w:val="none"/>
        </w:rPr>
      </w:pPr>
      <w:r w:rsidDel="00000000" w:rsidR="00000000" w:rsidRPr="00000000">
        <w:rPr>
          <w:rtl w:val="0"/>
        </w:rPr>
        <w:t xml:space="preserve"> If you are a significant institution supervised by the ECB -&gt;  </w:t>
      </w:r>
      <w:r w:rsidDel="00000000" w:rsidR="00000000" w:rsidRPr="00000000">
        <w:rPr>
          <w:b w:val="1"/>
          <w:bCs w:val="1"/>
          <w:rtl w:val="0"/>
        </w:rPr>
        <w:t xml:space="preserve">Follow the ECB Guide to Internal Models</w:t>
      </w:r>
      <w:r w:rsidDel="00000000" w:rsidR="00000000" w:rsidRPr="00000000">
        <w:rPr>
          <w:rtl w:val="0"/>
        </w:rPr>
        <w:t xml:space="preserve"> .</w:t>
      </w:r>
    </w:p>
    <w:p w:rsidR="00000000" w:rsidDel="00000000" w:rsidP="00000000" w:rsidRDefault="00000000" w:rsidRPr="00000000" w14:paraId="0000001C">
      <w:pPr>
        <w:numPr>
          <w:ilvl w:val="0"/>
          <w:numId w:val="3"/>
        </w:numPr>
        <w:ind w:left="720" w:hanging="360"/>
        <w:rPr>
          <w:u w:val="none"/>
        </w:rPr>
      </w:pPr>
      <w:r w:rsidDel="00000000" w:rsidR="00000000" w:rsidRPr="00000000">
        <w:rPr>
          <w:rtl w:val="0"/>
        </w:rPr>
        <w:t xml:space="preserve"> If you are a smaller U.S. national bank (legacy context) -&gt;  </w:t>
      </w:r>
      <w:r w:rsidDel="00000000" w:rsidR="00000000" w:rsidRPr="00000000">
        <w:rPr>
          <w:b w:val="1"/>
          <w:bCs w:val="1"/>
          <w:rtl w:val="0"/>
        </w:rPr>
        <w:t xml:space="preserve">Refer to OCC 2011-12</w:t>
      </w:r>
      <w:r w:rsidDel="00000000" w:rsidR="00000000" w:rsidRPr="00000000">
        <w:rPr>
          <w:rtl w:val="0"/>
        </w:rPr>
        <w:t xml:space="preserve"> .</w:t>
      </w:r>
    </w:p>
    <w:p w:rsidR="00000000" w:rsidDel="00000000" w:rsidP="00000000" w:rsidRDefault="00000000" w:rsidRPr="00000000" w14:paraId="0000001D">
      <w:pPr>
        <w:pStyle w:val="Heading4"/>
        <w:rPr/>
      </w:pPr>
      <w:bookmarkStart w:colFirst="0" w:colLast="0" w:name="_un6jvvdogn07" w:id="8"/>
      <w:bookmarkEnd w:id="8"/>
      <w:r w:rsidDel="00000000" w:rsidR="00000000" w:rsidRPr="00000000">
        <w:rPr>
          <w:rtl w:val="0"/>
        </w:rPr>
        <w:t xml:space="preserve">6. Bridging the Gap: Independent Validation and Advisory</w:t>
      </w:r>
    </w:p>
    <w:p w:rsidR="00000000" w:rsidDel="00000000" w:rsidP="00000000" w:rsidRDefault="00000000" w:rsidRPr="00000000" w14:paraId="0000001E">
      <w:pPr>
        <w:rPr/>
      </w:pPr>
      <w:r w:rsidDel="00000000" w:rsidR="00000000" w:rsidRPr="00000000">
        <w:rPr>
          <w:rtl w:val="0"/>
        </w:rPr>
        <w:t xml:space="preserve">To satisfy the regulatory requirement for  </w:t>
      </w:r>
      <w:r w:rsidDel="00000000" w:rsidR="00000000" w:rsidRPr="00000000">
        <w:rPr>
          <w:b w:val="1"/>
          <w:bCs w:val="1"/>
          <w:rtl w:val="0"/>
        </w:rPr>
        <w:t xml:space="preserve">"Effective Challenge,"</w:t>
      </w:r>
      <w:r w:rsidDel="00000000" w:rsidR="00000000" w:rsidRPr="00000000">
        <w:rPr>
          <w:rtl w:val="0"/>
        </w:rPr>
        <w:t xml:space="preserve">  institutions must ensure that the individuals reviewing a model are independent of those who developed it. This requirement has led to a thriving global ecosystem of third-party firms that provide specialized validation and advisory services.| Service Category | Key Objective || ------ | ------ || </w:t>
      </w:r>
      <w:r w:rsidDel="00000000" w:rsidR="00000000" w:rsidRPr="00000000">
        <w:rPr>
          <w:b w:val="1"/>
          <w:bCs w:val="1"/>
          <w:rtl w:val="0"/>
        </w:rPr>
        <w:t xml:space="preserve">Model Validation</w:t>
      </w:r>
      <w:r w:rsidDel="00000000" w:rsidR="00000000" w:rsidRPr="00000000">
        <w:rPr>
          <w:rtl w:val="0"/>
        </w:rPr>
        <w:t xml:space="preserve"> | Conduct technical, independent reviews to provide "effective challenge" and verify accuracy. || </w:t>
      </w:r>
      <w:r w:rsidDel="00000000" w:rsidR="00000000" w:rsidRPr="00000000">
        <w:rPr>
          <w:b w:val="1"/>
          <w:bCs w:val="1"/>
          <w:rtl w:val="0"/>
        </w:rPr>
        <w:t xml:space="preserve">MRM Software</w:t>
      </w:r>
      <w:r w:rsidDel="00000000" w:rsidR="00000000" w:rsidRPr="00000000">
        <w:rPr>
          <w:rtl w:val="0"/>
        </w:rPr>
        <w:t xml:space="preserve"> | Transition firms from "spreadsheet-based inventories" to professional, auditable governance systems. || </w:t>
      </w:r>
      <w:r w:rsidDel="00000000" w:rsidR="00000000" w:rsidRPr="00000000">
        <w:rPr>
          <w:b w:val="1"/>
          <w:bCs w:val="1"/>
          <w:rtl w:val="0"/>
        </w:rPr>
        <w:t xml:space="preserve">MRM Advisory</w:t>
      </w:r>
      <w:r w:rsidDel="00000000" w:rsidR="00000000" w:rsidRPr="00000000">
        <w:rPr>
          <w:rtl w:val="0"/>
        </w:rPr>
        <w:t xml:space="preserve"> | Design and implement entire MRM programs, from policy drafting to organizational design. |</w:t>
      </w:r>
    </w:p>
    <w:p w:rsidR="00000000" w:rsidDel="00000000" w:rsidP="00000000" w:rsidRDefault="00000000" w:rsidRPr="00000000" w14:paraId="0000001F">
      <w:pPr>
        <w:pStyle w:val="Heading5"/>
        <w:rPr/>
      </w:pPr>
      <w:bookmarkStart w:colFirst="0" w:colLast="0" w:name="_chc9ig1cn5ru" w:id="9"/>
      <w:bookmarkEnd w:id="9"/>
      <w:r w:rsidDel="00000000" w:rsidR="00000000" w:rsidRPr="00000000">
        <w:rPr>
          <w:rtl w:val="0"/>
        </w:rPr>
        <w:t xml:space="preserve">The Global MRM Support Ecosystem</w:t>
      </w:r>
    </w:p>
    <w:p w:rsidR="00000000" w:rsidDel="00000000" w:rsidP="00000000" w:rsidRDefault="00000000" w:rsidRPr="00000000" w14:paraId="00000020">
      <w:pPr>
        <w:rPr/>
      </w:pPr>
      <w:r w:rsidDel="00000000" w:rsidR="00000000" w:rsidRPr="00000000">
        <w:rPr>
          <w:rtl w:val="0"/>
        </w:rPr>
        <w:t xml:space="preserve">The following notable vendors represent the global nature of MRM support, offering specialized expertise across different jurisdictions:</w:t>
      </w:r>
    </w:p>
    <w:p w:rsidR="00000000" w:rsidDel="00000000" w:rsidP="00000000" w:rsidRDefault="00000000" w:rsidRPr="00000000" w14:paraId="00000021">
      <w:pPr>
        <w:numPr>
          <w:ilvl w:val="0"/>
          <w:numId w:val="4"/>
        </w:numPr>
        <w:ind w:left="720" w:hanging="360"/>
        <w:rPr>
          <w:u w:val="none"/>
        </w:rPr>
      </w:pPr>
      <w:r w:rsidDel="00000000" w:rsidR="00000000" w:rsidRPr="00000000">
        <w:rPr>
          <w:b w:val="1"/>
          <w:bCs w:val="1"/>
          <w:rtl w:val="0"/>
        </w:rPr>
        <w:t xml:space="preserve">4most</w:t>
      </w:r>
      <w:r w:rsidDel="00000000" w:rsidR="00000000" w:rsidRPr="00000000">
        <w:rPr>
          <w:rtl w:val="0"/>
        </w:rPr>
        <w:t xml:space="preserve">  (United Kingdom) – Analytics and capital modeling consultancy.</w:t>
      </w:r>
    </w:p>
    <w:p w:rsidR="00000000" w:rsidDel="00000000" w:rsidP="00000000" w:rsidRDefault="00000000" w:rsidRPr="00000000" w14:paraId="00000022">
      <w:pPr>
        <w:numPr>
          <w:ilvl w:val="0"/>
          <w:numId w:val="4"/>
        </w:numPr>
        <w:ind w:left="720" w:hanging="360"/>
        <w:rPr>
          <w:u w:val="none"/>
        </w:rPr>
      </w:pPr>
      <w:r w:rsidDel="00000000" w:rsidR="00000000" w:rsidRPr="00000000">
        <w:rPr>
          <w:b w:val="1"/>
          <w:bCs w:val="1"/>
          <w:rtl w:val="0"/>
        </w:rPr>
        <w:t xml:space="preserve">Accenture</w:t>
      </w:r>
      <w:r w:rsidDel="00000000" w:rsidR="00000000" w:rsidRPr="00000000">
        <w:rPr>
          <w:rtl w:val="0"/>
        </w:rPr>
        <w:t xml:space="preserve">  (Ireland) – Global management and regulatory advisory.</w:t>
      </w:r>
    </w:p>
    <w:p w:rsidR="00000000" w:rsidDel="00000000" w:rsidP="00000000" w:rsidRDefault="00000000" w:rsidRPr="00000000" w14:paraId="00000023">
      <w:pPr>
        <w:numPr>
          <w:ilvl w:val="0"/>
          <w:numId w:val="4"/>
        </w:numPr>
        <w:ind w:left="720" w:hanging="360"/>
        <w:rPr>
          <w:u w:val="none"/>
        </w:rPr>
      </w:pPr>
      <w:r w:rsidDel="00000000" w:rsidR="00000000" w:rsidRPr="00000000">
        <w:rPr>
          <w:b w:val="1"/>
          <w:bCs w:val="1"/>
          <w:rtl w:val="0"/>
        </w:rPr>
        <w:t xml:space="preserve">Aon</w:t>
      </w:r>
      <w:r w:rsidDel="00000000" w:rsidR="00000000" w:rsidRPr="00000000">
        <w:rPr>
          <w:rtl w:val="0"/>
        </w:rPr>
        <w:t xml:space="preserve">  (United Kingdom) – Risk management and insurance-linked model expertise.</w:t>
      </w:r>
    </w:p>
    <w:p w:rsidR="00000000" w:rsidDel="00000000" w:rsidP="00000000" w:rsidRDefault="00000000" w:rsidRPr="00000000" w14:paraId="00000024">
      <w:pPr>
        <w:numPr>
          <w:ilvl w:val="0"/>
          <w:numId w:val="4"/>
        </w:numPr>
        <w:ind w:left="720" w:hanging="360"/>
        <w:rPr>
          <w:u w:val="none"/>
        </w:rPr>
      </w:pPr>
      <w:r w:rsidDel="00000000" w:rsidR="00000000" w:rsidRPr="00000000">
        <w:rPr>
          <w:b w:val="1"/>
          <w:bCs w:val="1"/>
          <w:rtl w:val="0"/>
        </w:rPr>
        <w:t xml:space="preserve">Baker Tilly</w:t>
      </w:r>
      <w:r w:rsidDel="00000000" w:rsidR="00000000" w:rsidRPr="00000000">
        <w:rPr>
          <w:rtl w:val="0"/>
        </w:rPr>
        <w:t xml:space="preserve">  (United States) – Accounting and specialized MRM advisory.</w:t>
      </w:r>
    </w:p>
    <w:p w:rsidR="00000000" w:rsidDel="00000000" w:rsidP="00000000" w:rsidRDefault="00000000" w:rsidRPr="00000000" w14:paraId="00000025">
      <w:pPr>
        <w:numPr>
          <w:ilvl w:val="0"/>
          <w:numId w:val="4"/>
        </w:numPr>
        <w:ind w:left="720" w:hanging="360"/>
        <w:rPr>
          <w:u w:val="none"/>
        </w:rPr>
      </w:pPr>
      <w:r w:rsidDel="00000000" w:rsidR="00000000" w:rsidRPr="00000000">
        <w:rPr>
          <w:b w:val="1"/>
          <w:bCs w:val="1"/>
          <w:rtl w:val="0"/>
        </w:rPr>
        <w:t xml:space="preserve">Baringa Partners</w:t>
      </w:r>
      <w:r w:rsidDel="00000000" w:rsidR="00000000" w:rsidRPr="00000000">
        <w:rPr>
          <w:rtl w:val="0"/>
        </w:rPr>
        <w:t xml:space="preserve">  (United Kingdom) – Financial services and energy risk consultancy.</w:t>
      </w:r>
    </w:p>
    <w:p w:rsidR="00000000" w:rsidDel="00000000" w:rsidP="00000000" w:rsidRDefault="00000000" w:rsidRPr="00000000" w14:paraId="00000026">
      <w:pPr>
        <w:numPr>
          <w:ilvl w:val="0"/>
          <w:numId w:val="4"/>
        </w:numPr>
        <w:ind w:left="720" w:hanging="360"/>
        <w:rPr>
          <w:u w:val="none"/>
        </w:rPr>
      </w:pPr>
      <w:r w:rsidDel="00000000" w:rsidR="00000000" w:rsidRPr="00000000">
        <w:rPr>
          <w:b w:val="1"/>
          <w:bCs w:val="1"/>
          <w:rtl w:val="0"/>
        </w:rPr>
        <w:t xml:space="preserve">Capco</w:t>
      </w:r>
      <w:r w:rsidDel="00000000" w:rsidR="00000000" w:rsidRPr="00000000">
        <w:rPr>
          <w:rtl w:val="0"/>
        </w:rPr>
        <w:t xml:space="preserve">  (United Kingdom) – Technology and management consultancy for financial services.</w:t>
      </w:r>
    </w:p>
    <w:p w:rsidR="00000000" w:rsidDel="00000000" w:rsidP="00000000" w:rsidRDefault="00000000" w:rsidRPr="00000000" w14:paraId="00000027">
      <w:pPr>
        <w:numPr>
          <w:ilvl w:val="0"/>
          <w:numId w:val="4"/>
        </w:numPr>
        <w:ind w:left="720" w:hanging="360"/>
        <w:rPr>
          <w:u w:val="none"/>
        </w:rPr>
      </w:pPr>
      <w:r w:rsidDel="00000000" w:rsidR="00000000" w:rsidRPr="00000000">
        <w:rPr>
          <w:b w:val="1"/>
          <w:bCs w:val="1"/>
          <w:rtl w:val="0"/>
        </w:rPr>
        <w:t xml:space="preserve">Crowe</w:t>
      </w:r>
      <w:r w:rsidDel="00000000" w:rsidR="00000000" w:rsidRPr="00000000">
        <w:rPr>
          <w:rtl w:val="0"/>
        </w:rPr>
        <w:t xml:space="preserve">  (United States) – Public accounting and regulatory consulting.</w:t>
      </w:r>
      <w:r w:rsidDel="00000000" w:rsidR="00000000" w:rsidRPr="00000000">
        <w:rPr>
          <w:b w:val="1"/>
          <w:bCs w:val="1"/>
          <w:rtl w:val="0"/>
        </w:rPr>
        <w:t xml:space="preserve">Student Takeaway:</w:t>
      </w:r>
      <w:r w:rsidDel="00000000" w:rsidR="00000000" w:rsidRPr="00000000">
        <w:rPr>
          <w:rtl w:val="0"/>
        </w:rPr>
        <w:t xml:space="preserve">  These frameworks are the "rules of the road" for financial safety and soundness. The common thread linking the U.S., UK, and EU is the mandate for  </w:t>
      </w:r>
      <w:r w:rsidDel="00000000" w:rsidR="00000000" w:rsidRPr="00000000">
        <w:rPr>
          <w:b w:val="1"/>
          <w:bCs w:val="1"/>
          <w:rtl w:val="0"/>
        </w:rPr>
        <w:t xml:space="preserve">Effective Challenge</w:t>
      </w:r>
      <w:r w:rsidDel="00000000" w:rsidR="00000000" w:rsidRPr="00000000">
        <w:rPr>
          <w:rtl w:val="0"/>
        </w:rPr>
        <w:t xml:space="preserve"> —the idea that a model is only as good as the independent scrutiny it survives. These documents are regulatory expectations, not legal advice; however, failure to meet them can lead to significant supervisory consequences and capital add-ons.</w:t>
      </w:r>
    </w:p>
    <w:p w:rsidR="00000000" w:rsidDel="00000000" w:rsidP="00000000" w:rsidRDefault="00000000" w:rsidRPr="00000000" w14:paraId="0000002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